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583BB383"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Pr>
          <w:rFonts w:cs="Arial"/>
          <w:sz w:val="24"/>
          <w:lang w:eastAsia="zh-CN"/>
        </w:rPr>
        <w:t>SG RAN WG2 Meeting #97</w:t>
      </w:r>
      <w:r w:rsidRPr="00A66DAB">
        <w:rPr>
          <w:rFonts w:cs="Arial"/>
          <w:sz w:val="24"/>
          <w:lang w:eastAsia="zh-CN"/>
        </w:rPr>
        <w:t xml:space="preserve">   </w:t>
      </w:r>
      <w:r w:rsidRPr="00A66DAB">
        <w:rPr>
          <w:rFonts w:cs="Arial"/>
          <w:bCs/>
          <w:noProof w:val="0"/>
          <w:sz w:val="24"/>
        </w:rPr>
        <w:t xml:space="preserve">                                                      </w:t>
      </w:r>
      <w:r w:rsidR="008203D8" w:rsidRPr="008203D8">
        <w:rPr>
          <w:rFonts w:cs="Arial"/>
          <w:bCs/>
          <w:noProof w:val="0"/>
          <w:sz w:val="24"/>
        </w:rPr>
        <w:t>R2-1701723</w:t>
      </w:r>
    </w:p>
    <w:p w14:paraId="6E5B34B2" w14:textId="77777777" w:rsidR="003F5E77" w:rsidRPr="00A66DAB" w:rsidRDefault="003F5E77" w:rsidP="003F5E77">
      <w:pPr>
        <w:pStyle w:val="Header"/>
        <w:jc w:val="both"/>
        <w:rPr>
          <w:rFonts w:cs="Arial"/>
          <w:sz w:val="24"/>
          <w:lang w:eastAsia="zh-CN"/>
        </w:rPr>
      </w:pPr>
      <w:r>
        <w:rPr>
          <w:rFonts w:cs="Arial"/>
          <w:sz w:val="24"/>
          <w:szCs w:val="24"/>
          <w:bdr w:val="none" w:sz="0" w:space="0" w:color="auto" w:frame="1"/>
        </w:rPr>
        <w:t>Athens, Greece</w:t>
      </w:r>
      <w:r>
        <w:rPr>
          <w:rFonts w:cs="Arial"/>
          <w:sz w:val="24"/>
          <w:szCs w:val="24"/>
          <w:lang w:eastAsia="zh-CN"/>
        </w:rPr>
        <w:t>,</w:t>
      </w:r>
      <w:r w:rsidRPr="00A66DAB">
        <w:rPr>
          <w:rFonts w:cs="Arial"/>
          <w:sz w:val="24"/>
          <w:lang w:eastAsia="zh-CN"/>
        </w:rPr>
        <w:t xml:space="preserve"> </w:t>
      </w:r>
      <w:r>
        <w:rPr>
          <w:rFonts w:cs="Arial"/>
          <w:sz w:val="24"/>
          <w:lang w:eastAsia="zh-CN"/>
        </w:rPr>
        <w:t>13 – 17</w:t>
      </w:r>
      <w:r w:rsidRPr="00A66DAB">
        <w:rPr>
          <w:rFonts w:cs="Arial"/>
          <w:sz w:val="24"/>
          <w:lang w:eastAsia="zh-CN"/>
        </w:rPr>
        <w:t xml:space="preserve"> </w:t>
      </w:r>
      <w:r>
        <w:rPr>
          <w:rFonts w:cs="Arial"/>
          <w:sz w:val="24"/>
          <w:lang w:eastAsia="zh-CN"/>
        </w:rPr>
        <w:t>February 2017</w:t>
      </w:r>
    </w:p>
    <w:p w14:paraId="3C01718C" w14:textId="77777777" w:rsidR="003F5E77" w:rsidRPr="00A66DAB" w:rsidRDefault="003F5E77" w:rsidP="003F5E77">
      <w:pPr>
        <w:pStyle w:val="Header"/>
        <w:jc w:val="both"/>
        <w:rPr>
          <w:rFonts w:cs="Arial"/>
          <w:bCs/>
          <w:noProof w:val="0"/>
          <w:sz w:val="24"/>
          <w:lang w:eastAsia="ja-JP"/>
        </w:rPr>
      </w:pPr>
    </w:p>
    <w:p w14:paraId="1E6DDC75" w14:textId="6752F53E"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912015">
        <w:rPr>
          <w:rFonts w:cs="Arial"/>
          <w:bCs/>
          <w:sz w:val="24"/>
          <w:lang w:val="en-US"/>
        </w:rPr>
        <w:t>10</w:t>
      </w:r>
      <w:r>
        <w:rPr>
          <w:rFonts w:cs="Arial"/>
          <w:bCs/>
          <w:sz w:val="24"/>
          <w:lang w:val="en-US"/>
        </w:rPr>
        <w:t>.</w:t>
      </w:r>
      <w:r w:rsidR="00912015">
        <w:rPr>
          <w:rFonts w:cs="Arial"/>
          <w:bCs/>
          <w:sz w:val="24"/>
          <w:lang w:val="en-US"/>
        </w:rPr>
        <w:t>2.1.4</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74C2D2F5"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3F4991">
        <w:rPr>
          <w:rFonts w:ascii="Arial" w:hAnsi="Arial" w:cs="Arial"/>
          <w:bCs/>
          <w:sz w:val="24"/>
        </w:rPr>
        <w:t>E</w:t>
      </w:r>
      <w:r w:rsidR="00FD62C8" w:rsidRPr="00FD62C8">
        <w:rPr>
          <w:rFonts w:ascii="Arial" w:hAnsi="Arial" w:cs="Arial"/>
          <w:bCs/>
          <w:sz w:val="24"/>
        </w:rPr>
        <w:t>nhancement</w:t>
      </w:r>
      <w:r w:rsidR="00FD62C8">
        <w:rPr>
          <w:rFonts w:ascii="Arial" w:hAnsi="Arial" w:cs="Arial"/>
          <w:bCs/>
          <w:sz w:val="24"/>
        </w:rPr>
        <w:t>s of SR/</w:t>
      </w:r>
      <w:r w:rsidR="00FD62C8" w:rsidRPr="00FD62C8">
        <w:rPr>
          <w:rFonts w:ascii="Arial" w:hAnsi="Arial" w:cs="Arial"/>
          <w:bCs/>
          <w:sz w:val="24"/>
        </w:rPr>
        <w:t>BSR in NR</w:t>
      </w:r>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1" w:name="_Ref429645891"/>
      <w:r w:rsidRPr="00A66DAB">
        <w:rPr>
          <w:rFonts w:cs="Arial"/>
        </w:rPr>
        <w:t>Introduction</w:t>
      </w:r>
      <w:bookmarkEnd w:id="1"/>
    </w:p>
    <w:p w14:paraId="6C5813CE" w14:textId="7D8374ED" w:rsidR="005E0EDE" w:rsidRDefault="005E0EDE" w:rsidP="005E0EDE">
      <w:pPr>
        <w:rPr>
          <w:lang w:val="en-GB" w:eastAsia="x-none"/>
        </w:rPr>
      </w:pPr>
      <w:r>
        <w:rPr>
          <w:lang w:val="en-GB" w:eastAsia="x-none"/>
        </w:rPr>
        <w:t xml:space="preserve">In LTE, UL scheduling is </w:t>
      </w:r>
      <w:r w:rsidR="009C7071">
        <w:rPr>
          <w:lang w:val="en-GB" w:eastAsia="x-none"/>
        </w:rPr>
        <w:t xml:space="preserve">mainly </w:t>
      </w:r>
      <w:r>
        <w:rPr>
          <w:lang w:val="en-GB" w:eastAsia="x-none"/>
        </w:rPr>
        <w:t xml:space="preserve">based on the scheduling request (SR) and buffer status report (BSR) received from UEs. The SR is an indication to the eNB to provide UL grant for transmitting the BSR and contains no information of the amount of data. The information of the amount of data for each of the logical channel group (LCG) is provided in the BSR.  </w:t>
      </w:r>
    </w:p>
    <w:p w14:paraId="4FF7B142" w14:textId="2F1FD0C3" w:rsidR="005E0EDE" w:rsidRPr="00455BC6" w:rsidRDefault="005E0EDE" w:rsidP="009C7071">
      <w:r>
        <w:rPr>
          <w:lang w:val="en-GB" w:eastAsia="x-none"/>
        </w:rPr>
        <w:t xml:space="preserve">In NR, UL scheduling based on SR/BSR </w:t>
      </w:r>
      <w:r w:rsidR="004758A9">
        <w:rPr>
          <w:lang w:val="en-GB" w:eastAsia="x-none"/>
        </w:rPr>
        <w:t>can</w:t>
      </w:r>
      <w:r>
        <w:rPr>
          <w:lang w:val="en-GB" w:eastAsia="x-none"/>
        </w:rPr>
        <w:t xml:space="preserve"> be used for eMBB.  For URLLC, other than the grant</w:t>
      </w:r>
      <w:r w:rsidR="009C7071">
        <w:rPr>
          <w:lang w:val="en-GB" w:eastAsia="x-none"/>
        </w:rPr>
        <w:t>-</w:t>
      </w:r>
      <w:r>
        <w:rPr>
          <w:lang w:val="en-GB" w:eastAsia="x-none"/>
        </w:rPr>
        <w:t>less transmission, UL scheduling based on SR/BSR is also being co</w:t>
      </w:r>
      <w:r w:rsidR="009C7071">
        <w:rPr>
          <w:lang w:val="en-GB" w:eastAsia="x-none"/>
        </w:rPr>
        <w:t>nsidered by RAN 1.</w:t>
      </w:r>
      <w:r>
        <w:rPr>
          <w:lang w:val="en-GB" w:eastAsia="x-none"/>
        </w:rPr>
        <w:t xml:space="preserve"> In this document, we discuss the motivation behind the SR and BSR enhancement</w:t>
      </w:r>
      <w:r w:rsidR="009C7071">
        <w:rPr>
          <w:lang w:val="en-GB" w:eastAsia="x-none"/>
        </w:rPr>
        <w:t>s</w:t>
      </w:r>
      <w:r>
        <w:rPr>
          <w:lang w:val="en-GB" w:eastAsia="x-none"/>
        </w:rPr>
        <w:t>, e.g. discuss whether more information may be desirable in SR and BSR considering the number of different services UEs are supporting.</w:t>
      </w:r>
    </w:p>
    <w:p w14:paraId="37CF7A29" w14:textId="77777777" w:rsidR="003F5E77" w:rsidRDefault="003F5E77" w:rsidP="003F5E77">
      <w:pPr>
        <w:pStyle w:val="Heading1"/>
        <w:rPr>
          <w:rFonts w:cs="Arial"/>
        </w:rPr>
      </w:pPr>
      <w:bookmarkStart w:id="2" w:name="Proposal_Pattern_Length"/>
      <w:r w:rsidRPr="00A66DAB">
        <w:rPr>
          <w:rFonts w:cs="Arial"/>
        </w:rPr>
        <w:t>Discussion</w:t>
      </w:r>
    </w:p>
    <w:p w14:paraId="46717CD7" w14:textId="77777777" w:rsidR="003F5E77" w:rsidRDefault="00FD62C8" w:rsidP="003F5E77">
      <w:pPr>
        <w:pStyle w:val="Heading2"/>
      </w:pPr>
      <w:r>
        <w:t>SR enhancement</w:t>
      </w:r>
    </w:p>
    <w:p w14:paraId="0ACF2B0F" w14:textId="0A8C4A51" w:rsidR="00195B12" w:rsidRDefault="00D83BF2" w:rsidP="00D83BF2">
      <w:pPr>
        <w:rPr>
          <w:lang w:val="en-GB" w:eastAsia="x-none"/>
        </w:rPr>
      </w:pPr>
      <w:r>
        <w:rPr>
          <w:lang w:val="en-GB" w:eastAsia="x-none"/>
        </w:rPr>
        <w:t xml:space="preserve">In LTE, when a scheduling request (SR) is triggered, UE indicates </w:t>
      </w:r>
      <w:r w:rsidR="0065344E">
        <w:rPr>
          <w:lang w:val="en-GB" w:eastAsia="x-none"/>
        </w:rPr>
        <w:t xml:space="preserve">to </w:t>
      </w:r>
      <w:r>
        <w:rPr>
          <w:lang w:val="en-GB" w:eastAsia="x-none"/>
        </w:rPr>
        <w:t>the eNB that it has data to transmit in the buffer.</w:t>
      </w:r>
      <w:r w:rsidR="00195B12">
        <w:rPr>
          <w:lang w:val="en-GB" w:eastAsia="x-none"/>
        </w:rPr>
        <w:t xml:space="preserve"> The eNB provides a default UL grant which is used by </w:t>
      </w:r>
      <w:r w:rsidR="0065344E">
        <w:rPr>
          <w:lang w:val="en-GB" w:eastAsia="x-none"/>
        </w:rPr>
        <w:t xml:space="preserve">the </w:t>
      </w:r>
      <w:r w:rsidR="00195B12">
        <w:rPr>
          <w:lang w:val="en-GB" w:eastAsia="x-none"/>
        </w:rPr>
        <w:t>UE to transmit the data and</w:t>
      </w:r>
      <w:r w:rsidR="0065344E">
        <w:rPr>
          <w:lang w:val="en-GB" w:eastAsia="x-none"/>
        </w:rPr>
        <w:t>/or</w:t>
      </w:r>
      <w:r w:rsidR="00195B12">
        <w:rPr>
          <w:lang w:val="en-GB" w:eastAsia="x-none"/>
        </w:rPr>
        <w:t xml:space="preserve"> BSR. It may be case that the provided grant is enough to transmit all data. However, it is also likely that grant is not enough and UE has to request another grant using BSR. The consequence of this process is additional delay for the case when UE would have been able to transmit all data</w:t>
      </w:r>
      <w:r w:rsidR="00A404A2">
        <w:rPr>
          <w:lang w:val="en-GB" w:eastAsia="x-none"/>
        </w:rPr>
        <w:t>,</w:t>
      </w:r>
      <w:r w:rsidR="00195B12">
        <w:rPr>
          <w:lang w:val="en-GB" w:eastAsia="x-none"/>
        </w:rPr>
        <w:t xml:space="preserve"> had the first UL grant been little bit larger.</w:t>
      </w:r>
      <w:r w:rsidR="00DB111C">
        <w:rPr>
          <w:lang w:val="en-GB" w:eastAsia="x-none"/>
        </w:rPr>
        <w:t xml:space="preserve"> Also, there is no indication of the priority of the SR. Allow</w:t>
      </w:r>
      <w:r w:rsidR="004107FE">
        <w:rPr>
          <w:lang w:val="en-GB" w:eastAsia="x-none"/>
        </w:rPr>
        <w:t>ing the g</w:t>
      </w:r>
      <w:r w:rsidR="00DB111C">
        <w:rPr>
          <w:lang w:val="en-GB" w:eastAsia="x-none"/>
        </w:rPr>
        <w:t xml:space="preserve">NB to know the priority of the SR </w:t>
      </w:r>
      <w:r w:rsidR="0065344E">
        <w:rPr>
          <w:lang w:val="en-GB" w:eastAsia="x-none"/>
        </w:rPr>
        <w:t>would</w:t>
      </w:r>
      <w:r w:rsidR="004107FE">
        <w:rPr>
          <w:lang w:val="en-GB" w:eastAsia="x-none"/>
        </w:rPr>
        <w:t xml:space="preserve"> help the g</w:t>
      </w:r>
      <w:r w:rsidR="00DB111C">
        <w:rPr>
          <w:lang w:val="en-GB" w:eastAsia="x-none"/>
        </w:rPr>
        <w:t>NB scheduler prioritise the UL resources among the UEs</w:t>
      </w:r>
      <w:r w:rsidR="0065344E">
        <w:rPr>
          <w:lang w:val="en-GB" w:eastAsia="x-none"/>
        </w:rPr>
        <w:t>.</w:t>
      </w:r>
    </w:p>
    <w:p w14:paraId="2518DA57" w14:textId="77777777" w:rsidR="004107FE" w:rsidRDefault="004107FE" w:rsidP="00D83BF2">
      <w:pPr>
        <w:rPr>
          <w:lang w:val="en-GB" w:eastAsia="x-none"/>
        </w:rPr>
      </w:pPr>
      <w:r>
        <w:rPr>
          <w:lang w:val="en-GB" w:eastAsia="x-none"/>
        </w:rPr>
        <w:t xml:space="preserve">In </w:t>
      </w:r>
      <w:r w:rsidR="004353D0">
        <w:rPr>
          <w:lang w:val="en-GB" w:eastAsia="x-none"/>
        </w:rPr>
        <w:t>L</w:t>
      </w:r>
      <w:r>
        <w:rPr>
          <w:lang w:val="en-GB" w:eastAsia="x-none"/>
        </w:rPr>
        <w:t>TE</w:t>
      </w:r>
      <w:r w:rsidR="004353D0">
        <w:rPr>
          <w:lang w:val="en-GB" w:eastAsia="x-none"/>
        </w:rPr>
        <w:t xml:space="preserve">, the eNB has no information whether the UE has large or small </w:t>
      </w:r>
      <w:r>
        <w:rPr>
          <w:lang w:val="en-GB" w:eastAsia="x-none"/>
        </w:rPr>
        <w:t xml:space="preserve">amount of </w:t>
      </w:r>
      <w:r w:rsidR="004353D0">
        <w:rPr>
          <w:lang w:val="en-GB" w:eastAsia="x-none"/>
        </w:rPr>
        <w:t xml:space="preserve">data and also whether the UE has high priority data until the eNB receives </w:t>
      </w:r>
      <w:r>
        <w:rPr>
          <w:lang w:val="en-GB" w:eastAsia="x-none"/>
        </w:rPr>
        <w:t xml:space="preserve">a </w:t>
      </w:r>
      <w:r w:rsidR="004353D0">
        <w:rPr>
          <w:lang w:val="en-GB" w:eastAsia="x-none"/>
        </w:rPr>
        <w:t xml:space="preserve">BSR. For delay sensitive use cases, it can be beneficial if the SR is enhanced to piggyback more information </w:t>
      </w:r>
      <w:r>
        <w:rPr>
          <w:lang w:val="en-GB" w:eastAsia="x-none"/>
        </w:rPr>
        <w:t xml:space="preserve">about the characteristic </w:t>
      </w:r>
      <w:r w:rsidR="004353D0">
        <w:rPr>
          <w:lang w:val="en-GB" w:eastAsia="x-none"/>
        </w:rPr>
        <w:t>of data being queued at the UE buffer. It is because UE might be able to transmit all the data in the first UL grant it receives without waiting for the next UL grant received based on</w:t>
      </w:r>
      <w:r w:rsidR="00195B12">
        <w:rPr>
          <w:lang w:val="en-GB" w:eastAsia="x-none"/>
        </w:rPr>
        <w:t xml:space="preserve"> BSR.</w:t>
      </w:r>
      <w:r w:rsidR="004E1B82">
        <w:rPr>
          <w:lang w:val="en-GB" w:eastAsia="x-none"/>
        </w:rPr>
        <w:t xml:space="preserve"> </w:t>
      </w:r>
      <w:r w:rsidR="0043017D">
        <w:rPr>
          <w:lang w:val="en-GB" w:eastAsia="x-none"/>
        </w:rPr>
        <w:t xml:space="preserve"> </w:t>
      </w:r>
    </w:p>
    <w:p w14:paraId="11D4B11C" w14:textId="6EE83F79" w:rsidR="00406CC5" w:rsidRDefault="0043017D" w:rsidP="00D83BF2">
      <w:pPr>
        <w:rPr>
          <w:lang w:val="en-GB" w:eastAsia="x-none"/>
        </w:rPr>
      </w:pPr>
      <w:r>
        <w:rPr>
          <w:lang w:val="en-GB" w:eastAsia="x-none"/>
        </w:rPr>
        <w:t xml:space="preserve">NR has to support variety of services. Other than eMBB services, NR </w:t>
      </w:r>
      <w:r w:rsidR="004107FE">
        <w:rPr>
          <w:lang w:val="en-GB" w:eastAsia="x-none"/>
        </w:rPr>
        <w:t xml:space="preserve">also </w:t>
      </w:r>
      <w:r>
        <w:rPr>
          <w:lang w:val="en-GB" w:eastAsia="x-none"/>
        </w:rPr>
        <w:t>supports URLLC services which require ultra-low latency.  Even within eMBB services, there are services that are more delay stringent than the other and probably having higher priority.  There may also be some RRC/NAS signalling requir</w:t>
      </w:r>
      <w:r w:rsidR="00406CC5">
        <w:rPr>
          <w:lang w:val="en-GB" w:eastAsia="x-none"/>
        </w:rPr>
        <w:t>ing</w:t>
      </w:r>
      <w:r>
        <w:rPr>
          <w:lang w:val="en-GB" w:eastAsia="x-none"/>
        </w:rPr>
        <w:t xml:space="preserve"> high</w:t>
      </w:r>
      <w:r w:rsidR="00406CC5">
        <w:rPr>
          <w:lang w:val="en-GB" w:eastAsia="x-none"/>
        </w:rPr>
        <w:t>er</w:t>
      </w:r>
      <w:r>
        <w:rPr>
          <w:lang w:val="en-GB" w:eastAsia="x-none"/>
        </w:rPr>
        <w:t xml:space="preserve"> priority than normal data transmission from other UEs. Hence it is beneficial for the </w:t>
      </w:r>
      <w:r w:rsidR="00455BC6">
        <w:rPr>
          <w:lang w:val="en-GB" w:eastAsia="x-none"/>
        </w:rPr>
        <w:t>g</w:t>
      </w:r>
      <w:r>
        <w:rPr>
          <w:lang w:val="en-GB" w:eastAsia="x-none"/>
        </w:rPr>
        <w:t>NB scheduler to know the priority of the SR</w:t>
      </w:r>
      <w:r w:rsidR="009A7058">
        <w:rPr>
          <w:lang w:val="en-GB" w:eastAsia="x-none"/>
        </w:rPr>
        <w:t xml:space="preserve"> to allow the </w:t>
      </w:r>
      <w:r w:rsidR="00455BC6">
        <w:rPr>
          <w:lang w:val="en-GB" w:eastAsia="x-none"/>
        </w:rPr>
        <w:t>g</w:t>
      </w:r>
      <w:r w:rsidR="009A7058">
        <w:rPr>
          <w:lang w:val="en-GB" w:eastAsia="x-none"/>
        </w:rPr>
        <w:t xml:space="preserve">NB to prioritise the UL resources among the UEs. </w:t>
      </w:r>
    </w:p>
    <w:p w14:paraId="53C6BF5E" w14:textId="0D7453DB" w:rsidR="00406CC5" w:rsidRDefault="00406CC5" w:rsidP="00406CC5">
      <w:pPr>
        <w:pStyle w:val="Observationstyle"/>
      </w:pPr>
      <w:bookmarkStart w:id="3" w:name="_Toc473910656"/>
      <w:bookmarkStart w:id="4" w:name="_Toc473910737"/>
      <w:bookmarkStart w:id="5" w:name="_Toc473926537"/>
      <w:bookmarkStart w:id="6" w:name="_Toc473927458"/>
      <w:bookmarkStart w:id="7" w:name="_Toc473927643"/>
      <w:bookmarkStart w:id="8" w:name="_Toc473928455"/>
      <w:bookmarkStart w:id="9" w:name="_Toc473928703"/>
      <w:r>
        <w:t xml:space="preserve">Due to the variety of services (eMBB, URLLC etc.) supported by NR, it is beneficial for the eNB scheduler to know the priority of the SR </w:t>
      </w:r>
      <w:r w:rsidR="00C537EE">
        <w:t>which</w:t>
      </w:r>
      <w:r w:rsidRPr="00406CC5">
        <w:t xml:space="preserve"> allow</w:t>
      </w:r>
      <w:r w:rsidR="00C537EE">
        <w:t>s the g</w:t>
      </w:r>
      <w:r w:rsidRPr="00406CC5">
        <w:t xml:space="preserve">NB to </w:t>
      </w:r>
      <w:r w:rsidR="00CB689F" w:rsidRPr="00406CC5">
        <w:t>prioriti</w:t>
      </w:r>
      <w:r w:rsidR="00CB689F">
        <w:t>ze</w:t>
      </w:r>
      <w:r w:rsidRPr="00406CC5">
        <w:t xml:space="preserve"> UL resources among the UEs.</w:t>
      </w:r>
      <w:bookmarkEnd w:id="3"/>
      <w:bookmarkEnd w:id="4"/>
      <w:bookmarkEnd w:id="5"/>
      <w:bookmarkEnd w:id="6"/>
      <w:bookmarkEnd w:id="7"/>
      <w:bookmarkEnd w:id="8"/>
      <w:bookmarkEnd w:id="9"/>
      <w:r w:rsidRPr="00406CC5">
        <w:t xml:space="preserve"> </w:t>
      </w:r>
    </w:p>
    <w:p w14:paraId="5784CE94" w14:textId="05D21189" w:rsidR="004758A9" w:rsidRDefault="004758A9" w:rsidP="00D83BF2">
      <w:r>
        <w:t xml:space="preserve">In order for the eNB scheduler to schedule the UL </w:t>
      </w:r>
      <w:r w:rsidR="00CB689F">
        <w:t xml:space="preserve">resources </w:t>
      </w:r>
      <w:r>
        <w:t xml:space="preserve">directly from </w:t>
      </w:r>
      <w:r w:rsidR="00CB689F">
        <w:t>the</w:t>
      </w:r>
      <w:r>
        <w:t xml:space="preserve"> receiv</w:t>
      </w:r>
      <w:r w:rsidR="00CB689F">
        <w:t>ed</w:t>
      </w:r>
      <w:r>
        <w:t xml:space="preserve"> SR, it needs to</w:t>
      </w:r>
      <w:r w:rsidR="00455BC6">
        <w:t xml:space="preserve"> know</w:t>
      </w:r>
      <w:r>
        <w:t xml:space="preserve"> the characteristics of the UL data which is contained in the LCG. </w:t>
      </w:r>
      <w:r w:rsidR="007F560A">
        <w:rPr>
          <w:lang w:val="en-GB" w:eastAsia="x-none"/>
        </w:rPr>
        <w:t xml:space="preserve">Hence it is beneficial for the gNB scheduler to know </w:t>
      </w:r>
      <w:r w:rsidR="007F560A">
        <w:t>t</w:t>
      </w:r>
      <w:r>
        <w:t xml:space="preserve">he LCG associated with UL data.  </w:t>
      </w:r>
    </w:p>
    <w:p w14:paraId="233EB4D0" w14:textId="2D18A15F" w:rsidR="006E7F24" w:rsidRDefault="006E7F24" w:rsidP="006E7F24">
      <w:pPr>
        <w:pStyle w:val="Observationstyle"/>
      </w:pPr>
      <w:bookmarkStart w:id="10" w:name="_Toc473640501"/>
      <w:bookmarkStart w:id="11" w:name="_Toc473640644"/>
      <w:bookmarkStart w:id="12" w:name="_Toc473910657"/>
      <w:bookmarkStart w:id="13" w:name="_Toc473910738"/>
      <w:bookmarkStart w:id="14" w:name="_Toc473926538"/>
      <w:bookmarkStart w:id="15" w:name="_Toc473927459"/>
      <w:bookmarkStart w:id="16" w:name="_Toc473927644"/>
      <w:bookmarkStart w:id="17" w:name="_Toc473928456"/>
      <w:bookmarkStart w:id="18" w:name="_Toc473928704"/>
      <w:r>
        <w:lastRenderedPageBreak/>
        <w:t xml:space="preserve">SR </w:t>
      </w:r>
      <w:r w:rsidR="004758A9">
        <w:t xml:space="preserve">with more information on </w:t>
      </w:r>
      <w:r w:rsidR="007F560A">
        <w:t xml:space="preserve">traffic characteristic/services </w:t>
      </w:r>
      <w:r>
        <w:t>is beneficial for better UL scheduling at the network.</w:t>
      </w:r>
      <w:bookmarkEnd w:id="10"/>
      <w:bookmarkEnd w:id="11"/>
      <w:bookmarkEnd w:id="12"/>
      <w:bookmarkEnd w:id="13"/>
      <w:bookmarkEnd w:id="14"/>
      <w:bookmarkEnd w:id="15"/>
      <w:bookmarkEnd w:id="16"/>
      <w:bookmarkEnd w:id="17"/>
      <w:bookmarkEnd w:id="18"/>
    </w:p>
    <w:p w14:paraId="437C22AC" w14:textId="0480037D" w:rsidR="006E7F24" w:rsidRDefault="006E7F24" w:rsidP="006E7F24">
      <w:r>
        <w:t xml:space="preserve">However, in today’s LTE SR format, no </w:t>
      </w:r>
      <w:r w:rsidR="00CB689F">
        <w:t xml:space="preserve">extra </w:t>
      </w:r>
      <w:r w:rsidR="00E329A9">
        <w:t>information bit</w:t>
      </w:r>
      <w:r w:rsidR="00CB689F">
        <w:t>s</w:t>
      </w:r>
      <w:r>
        <w:t xml:space="preserve"> </w:t>
      </w:r>
      <w:r w:rsidR="00CB689F">
        <w:t>are present apart from presence or absence of SR</w:t>
      </w:r>
      <w:r>
        <w:t>. How much</w:t>
      </w:r>
      <w:r w:rsidR="00CB689F">
        <w:t xml:space="preserve"> extra</w:t>
      </w:r>
      <w:r>
        <w:t xml:space="preserve"> information </w:t>
      </w:r>
      <w:r w:rsidR="00CB689F">
        <w:t xml:space="preserve">could </w:t>
      </w:r>
      <w:r>
        <w:t>be accommodate</w:t>
      </w:r>
      <w:r w:rsidR="001017AC">
        <w:t>d</w:t>
      </w:r>
      <w:r>
        <w:t xml:space="preserve"> in the</w:t>
      </w:r>
      <w:r w:rsidR="00CB689F">
        <w:t xml:space="preserve"> NR</w:t>
      </w:r>
      <w:r>
        <w:t xml:space="preserve"> SR may depend on the RAN1 progress on the design of UL control channel for NR. It is also possible that RAN1 defines two different formats for SR</w:t>
      </w:r>
      <w:r w:rsidR="00CB689F">
        <w:t>:</w:t>
      </w:r>
      <w:r>
        <w:t xml:space="preserve"> one associated with URLLC service and the other associated with eMBB or mMTC services. The two SR format</w:t>
      </w:r>
      <w:r w:rsidR="00CB689F">
        <w:t>s</w:t>
      </w:r>
      <w:r>
        <w:t xml:space="preserve"> can also be associated with larger</w:t>
      </w:r>
      <w:r w:rsidR="00CB689F">
        <w:t xml:space="preserve"> or smaller</w:t>
      </w:r>
      <w:r>
        <w:t xml:space="preserve"> grant size</w:t>
      </w:r>
      <w:r w:rsidR="00CB689F">
        <w:t>s</w:t>
      </w:r>
      <w:r>
        <w:t>.</w:t>
      </w:r>
    </w:p>
    <w:p w14:paraId="0C4AEFE9" w14:textId="77777777" w:rsidR="006E7F24" w:rsidRPr="00A404A2" w:rsidRDefault="006E7F24" w:rsidP="006E7F24">
      <w:pPr>
        <w:pStyle w:val="Observationstyle"/>
      </w:pPr>
      <w:bookmarkStart w:id="19" w:name="_Toc473640502"/>
      <w:bookmarkStart w:id="20" w:name="_Toc473640645"/>
      <w:bookmarkStart w:id="21" w:name="_Toc473910658"/>
      <w:bookmarkStart w:id="22" w:name="_Toc473910739"/>
      <w:bookmarkStart w:id="23" w:name="_Toc473926539"/>
      <w:bookmarkStart w:id="24" w:name="_Toc473927460"/>
      <w:bookmarkStart w:id="25" w:name="_Toc473927645"/>
      <w:bookmarkStart w:id="26" w:name="_Toc473928457"/>
      <w:bookmarkStart w:id="27" w:name="_Toc473928705"/>
      <w:r>
        <w:t>SR enhancement</w:t>
      </w:r>
      <w:r w:rsidR="00E329A9">
        <w:t xml:space="preserve"> is dependent on the design of uplink control information (UCI) format by RAN1</w:t>
      </w:r>
      <w:r>
        <w:t>.</w:t>
      </w:r>
      <w:bookmarkEnd w:id="19"/>
      <w:bookmarkEnd w:id="20"/>
      <w:bookmarkEnd w:id="21"/>
      <w:bookmarkEnd w:id="22"/>
      <w:bookmarkEnd w:id="23"/>
      <w:bookmarkEnd w:id="24"/>
      <w:bookmarkEnd w:id="25"/>
      <w:bookmarkEnd w:id="26"/>
      <w:bookmarkEnd w:id="27"/>
    </w:p>
    <w:p w14:paraId="31E285CD" w14:textId="138B255F" w:rsidR="00D83BF2" w:rsidRDefault="0052610A" w:rsidP="0052610A">
      <w:pPr>
        <w:pStyle w:val="Recommend-1"/>
      </w:pPr>
      <w:bookmarkStart w:id="28" w:name="_Toc473640503"/>
      <w:bookmarkStart w:id="29" w:name="_Toc473640737"/>
      <w:bookmarkStart w:id="30" w:name="_Toc473640789"/>
      <w:bookmarkStart w:id="31" w:name="_Toc473910662"/>
      <w:bookmarkStart w:id="32" w:name="_Toc473910680"/>
      <w:bookmarkStart w:id="33" w:name="_Toc473910725"/>
      <w:bookmarkStart w:id="34" w:name="_Toc473926543"/>
      <w:bookmarkStart w:id="35" w:name="_Toc473927464"/>
      <w:bookmarkStart w:id="36" w:name="_Toc473927639"/>
      <w:bookmarkStart w:id="37" w:name="_Toc473928461"/>
      <w:bookmarkStart w:id="38" w:name="_Toc473928709"/>
      <w:bookmarkEnd w:id="28"/>
      <w:bookmarkEnd w:id="29"/>
      <w:bookmarkEnd w:id="30"/>
      <w:r>
        <w:t xml:space="preserve">RAN2 should get feedback from RAN1 on the amount of bits available for conveying priorities and/or </w:t>
      </w:r>
      <w:r w:rsidR="00C326A0">
        <w:t>other traffic/service characteristics</w:t>
      </w:r>
      <w:r>
        <w:t xml:space="preserve"> in SR.</w:t>
      </w:r>
      <w:bookmarkEnd w:id="37"/>
      <w:bookmarkEnd w:id="38"/>
      <w:r>
        <w:t xml:space="preserve"> </w:t>
      </w:r>
      <w:bookmarkEnd w:id="31"/>
      <w:bookmarkEnd w:id="32"/>
      <w:bookmarkEnd w:id="33"/>
      <w:bookmarkEnd w:id="34"/>
      <w:bookmarkEnd w:id="35"/>
      <w:bookmarkEnd w:id="36"/>
      <w:r w:rsidDel="0052610A">
        <w:rPr>
          <w:rStyle w:val="CommentReference"/>
          <w:lang w:eastAsia="en-US"/>
        </w:rPr>
        <w:t xml:space="preserve"> </w:t>
      </w:r>
    </w:p>
    <w:p w14:paraId="5A33E03D" w14:textId="4A010A3C" w:rsidR="003F5E77" w:rsidRDefault="00FD62C8" w:rsidP="0052610A">
      <w:pPr>
        <w:pStyle w:val="Heading2"/>
      </w:pPr>
      <w:r>
        <w:t>BSR enh</w:t>
      </w:r>
      <w:r w:rsidR="004D5BCE">
        <w:t>a</w:t>
      </w:r>
      <w:r>
        <w:t>ncements</w:t>
      </w:r>
    </w:p>
    <w:p w14:paraId="132E6B0A" w14:textId="2335ADFB" w:rsidR="004570E9" w:rsidRDefault="004570E9" w:rsidP="0052610A">
      <w:r>
        <w:t>In LTE, there are two types of BSR</w:t>
      </w:r>
      <w:r w:rsidR="0052610A">
        <w:t xml:space="preserve"> format</w:t>
      </w:r>
      <w:r w:rsidR="00C326A0">
        <w:t>s</w:t>
      </w:r>
      <w:r>
        <w:t xml:space="preserve"> that can be reported to eNB. The first one is the short</w:t>
      </w:r>
      <w:r w:rsidR="0052610A">
        <w:t>/truncated</w:t>
      </w:r>
      <w:r>
        <w:t xml:space="preserve"> BSR</w:t>
      </w:r>
      <w:r w:rsidR="0052610A">
        <w:t xml:space="preserve"> format</w:t>
      </w:r>
      <w:r>
        <w:t xml:space="preserve"> where buffer status of </w:t>
      </w:r>
      <w:r w:rsidR="00184B2E">
        <w:t>one</w:t>
      </w:r>
      <w:r>
        <w:t xml:space="preserve"> logical channel group can be reported. The second one is the long BSR</w:t>
      </w:r>
      <w:r w:rsidR="0052610A">
        <w:t xml:space="preserve"> format</w:t>
      </w:r>
      <w:r>
        <w:t xml:space="preserve"> where data from all logical channel groups are reported. </w:t>
      </w:r>
      <w:r w:rsidR="005E2B01">
        <w:t xml:space="preserve">In LTE, there are 4 LCGs. In NR, more number of LCGs may be defined </w:t>
      </w:r>
      <w:r w:rsidR="00874421">
        <w:t xml:space="preserve">to provide the finer granularity of the data priorities </w:t>
      </w:r>
      <w:r w:rsidR="005E2B01">
        <w:t xml:space="preserve">depending on the number of logical channels or types of services to be supported. </w:t>
      </w:r>
      <w:r>
        <w:t xml:space="preserve">A drawback of the current method is that it is not flexible to transmit the BSR </w:t>
      </w:r>
      <w:r w:rsidR="00983099">
        <w:t>corresponding to</w:t>
      </w:r>
      <w:r>
        <w:t xml:space="preserve"> </w:t>
      </w:r>
      <w:r w:rsidR="00983099">
        <w:t>two</w:t>
      </w:r>
      <w:r w:rsidR="005E2B01">
        <w:t xml:space="preserve"> to (max-1)</w:t>
      </w:r>
      <w:r w:rsidR="00E250F2">
        <w:t xml:space="preserve"> LCGs</w:t>
      </w:r>
      <w:r w:rsidR="005E2B01">
        <w:t>. I</w:t>
      </w:r>
      <w:r w:rsidR="00482C53">
        <w:t>t is</w:t>
      </w:r>
      <w:r w:rsidR="005E2B01">
        <w:t xml:space="preserve"> also</w:t>
      </w:r>
      <w:r w:rsidR="00482C53">
        <w:t xml:space="preserve"> not possible to identify the </w:t>
      </w:r>
      <w:r w:rsidR="006E68D8">
        <w:t>TTIs</w:t>
      </w:r>
      <w:r w:rsidR="00482C53">
        <w:t xml:space="preserve"> or service</w:t>
      </w:r>
      <w:r w:rsidR="00983099" w:rsidRPr="00983099">
        <w:t xml:space="preserve"> </w:t>
      </w:r>
      <w:r w:rsidR="00983099">
        <w:t>for which the BSR is being reported</w:t>
      </w:r>
      <w:r w:rsidR="005E2B01">
        <w:t>. Such identification may be helpful</w:t>
      </w:r>
      <w:r w:rsidR="00482C53">
        <w:t xml:space="preserve"> for better UL scheduling decision </w:t>
      </w:r>
      <w:r w:rsidR="00447E80">
        <w:t>by</w:t>
      </w:r>
      <w:r w:rsidR="00482C53">
        <w:t xml:space="preserve"> the network</w:t>
      </w:r>
      <w:r w:rsidR="00E250F2">
        <w:t>.</w:t>
      </w:r>
      <w:r>
        <w:t xml:space="preserve"> </w:t>
      </w:r>
    </w:p>
    <w:p w14:paraId="76CD212B" w14:textId="28D2D177" w:rsidR="0085616C" w:rsidRDefault="0085616C" w:rsidP="00D545B4">
      <w:r>
        <w:t>In LTE sidelink operation, each sidelink logical channel group is defined per ProSe destination.</w:t>
      </w:r>
      <w:r w:rsidR="00675028">
        <w:t xml:space="preserve"> A ProSe destination with highest priority is selected for UL scheduling by the network. Therefore, the sidelink BSR format is different than that of LTE legacy BSR format as shown in figure 1. </w:t>
      </w:r>
    </w:p>
    <w:p w14:paraId="367E53DA" w14:textId="77777777" w:rsidR="00675028" w:rsidRDefault="00675028" w:rsidP="00675028">
      <w:pPr>
        <w:keepNext/>
        <w:jc w:val="center"/>
      </w:pPr>
      <w:r>
        <w:rPr>
          <w:noProof/>
        </w:rPr>
        <w:object w:dxaOrig="6631" w:dyaOrig="3375" w14:anchorId="2A4EC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49pt" o:ole="">
            <v:imagedata r:id="rId10" o:title=""/>
          </v:shape>
          <o:OLEObject Type="Embed" ProgID="Visio.Drawing.11" ShapeID="_x0000_i1025" DrawAspect="Content" ObjectID="_1547670545" r:id="rId11"/>
        </w:object>
      </w:r>
    </w:p>
    <w:p w14:paraId="276394F5" w14:textId="77777777" w:rsidR="00675028" w:rsidRDefault="00675028" w:rsidP="00675028">
      <w:pPr>
        <w:pStyle w:val="Caption"/>
        <w:jc w:val="center"/>
      </w:pPr>
      <w:r>
        <w:t xml:space="preserve">Figure </w:t>
      </w:r>
      <w:r w:rsidR="0061790A">
        <w:fldChar w:fldCharType="begin"/>
      </w:r>
      <w:r w:rsidR="0061790A">
        <w:instrText xml:space="preserve"> SEQ Figure \* ARABIC </w:instrText>
      </w:r>
      <w:r w:rsidR="0061790A">
        <w:fldChar w:fldCharType="separate"/>
      </w:r>
      <w:r>
        <w:rPr>
          <w:noProof/>
        </w:rPr>
        <w:t>1</w:t>
      </w:r>
      <w:r w:rsidR="0061790A">
        <w:rPr>
          <w:noProof/>
        </w:rPr>
        <w:fldChar w:fldCharType="end"/>
      </w:r>
      <w:r>
        <w:t xml:space="preserve"> Example of sidelink BSR format in LTE [TS36.321 figure 6.1.3.1a-1]</w:t>
      </w:r>
    </w:p>
    <w:p w14:paraId="32564EC6" w14:textId="53666654" w:rsidR="002530FD" w:rsidRDefault="00FC2CB6" w:rsidP="004570E9">
      <w:r>
        <w:t>In NR, i</w:t>
      </w:r>
      <w:r w:rsidR="002530FD">
        <w:t xml:space="preserve">t is also possible that </w:t>
      </w:r>
      <w:r w:rsidR="00D545B4">
        <w:t>more</w:t>
      </w:r>
      <w:r w:rsidR="00FA5EB1">
        <w:t xml:space="preserve"> logical channel group</w:t>
      </w:r>
      <w:r w:rsidR="00D545B4">
        <w:t>s</w:t>
      </w:r>
      <w:r w:rsidR="00184B2E">
        <w:t xml:space="preserve"> </w:t>
      </w:r>
      <w:r w:rsidR="00D545B4">
        <w:t>than</w:t>
      </w:r>
      <w:r w:rsidR="00184B2E">
        <w:t xml:space="preserve"> that of LTE</w:t>
      </w:r>
      <w:r w:rsidR="00FA5EB1">
        <w:t xml:space="preserve"> </w:t>
      </w:r>
      <w:r w:rsidR="00D545B4">
        <w:t>are defined</w:t>
      </w:r>
      <w:r w:rsidR="00FA5EB1">
        <w:t xml:space="preserve"> </w:t>
      </w:r>
      <w:r w:rsidR="00D545B4">
        <w:t>for</w:t>
      </w:r>
      <w:r w:rsidR="00FA5EB1">
        <w:t xml:space="preserve"> BSR to help the network better prioritize the user’s data. </w:t>
      </w:r>
      <w:r w:rsidR="00D545B4">
        <w:t>This</w:t>
      </w:r>
      <w:r w:rsidR="00FA5EB1">
        <w:t xml:space="preserve"> requires the change in MAC CE format</w:t>
      </w:r>
      <w:r w:rsidR="00D545B4">
        <w:t xml:space="preserve"> of the BSR</w:t>
      </w:r>
      <w:r w:rsidR="00FA5EB1">
        <w:t xml:space="preserve"> which can be done efficiently if it is defined in terms of logical channel or logical channel groups.</w:t>
      </w:r>
    </w:p>
    <w:p w14:paraId="3418DE9E" w14:textId="6AABE3B5" w:rsidR="004570E9" w:rsidRDefault="008245C4" w:rsidP="004570E9">
      <w:r>
        <w:t xml:space="preserve">However, </w:t>
      </w:r>
      <w:r w:rsidR="009647D1">
        <w:t>it can be further studied</w:t>
      </w:r>
      <w:r>
        <w:t xml:space="preserve"> how m</w:t>
      </w:r>
      <w:r w:rsidR="002530FD">
        <w:t xml:space="preserve">any </w:t>
      </w:r>
      <w:r w:rsidR="00D545B4">
        <w:t>LCGs</w:t>
      </w:r>
      <w:r w:rsidR="002530FD">
        <w:t xml:space="preserve"> are</w:t>
      </w:r>
      <w:r>
        <w:t xml:space="preserve"> defined for NR. </w:t>
      </w:r>
      <w:r w:rsidR="00FA77FB">
        <w:t>A new design can be studied to achieve a flexible and efficient BSR reporting mechanism in NR.</w:t>
      </w:r>
    </w:p>
    <w:p w14:paraId="39212153" w14:textId="2375DBBA" w:rsidR="007E12C5" w:rsidRDefault="008A00C9" w:rsidP="007E12C5">
      <w:pPr>
        <w:pStyle w:val="Observationstyle"/>
      </w:pPr>
      <w:bookmarkStart w:id="39" w:name="_Toc473640504"/>
      <w:bookmarkStart w:id="40" w:name="_Toc473640646"/>
      <w:bookmarkStart w:id="41" w:name="_Toc473910659"/>
      <w:bookmarkStart w:id="42" w:name="_Toc473910740"/>
      <w:bookmarkStart w:id="43" w:name="_Toc473926540"/>
      <w:bookmarkStart w:id="44" w:name="_Toc473927461"/>
      <w:bookmarkStart w:id="45" w:name="_Toc473927646"/>
      <w:bookmarkStart w:id="46" w:name="_Toc473928458"/>
      <w:bookmarkStart w:id="47" w:name="_Toc473928706"/>
      <w:r>
        <w:rPr>
          <w:rStyle w:val="ObservationstyleChar"/>
        </w:rPr>
        <w:t>N</w:t>
      </w:r>
      <w:r w:rsidR="007E12C5" w:rsidRPr="0034505A">
        <w:rPr>
          <w:rStyle w:val="ObservationstyleChar"/>
        </w:rPr>
        <w:t xml:space="preserve">ew </w:t>
      </w:r>
      <w:r>
        <w:rPr>
          <w:rStyle w:val="ObservationstyleChar"/>
        </w:rPr>
        <w:t>BSR formats</w:t>
      </w:r>
      <w:r w:rsidR="007E12C5">
        <w:rPr>
          <w:rStyle w:val="ObservationstyleChar"/>
        </w:rPr>
        <w:t xml:space="preserve"> </w:t>
      </w:r>
      <w:r>
        <w:rPr>
          <w:rStyle w:val="ObservationstyleChar"/>
        </w:rPr>
        <w:t>are</w:t>
      </w:r>
      <w:r w:rsidR="007E12C5">
        <w:rPr>
          <w:rStyle w:val="ObservationstyleChar"/>
        </w:rPr>
        <w:t xml:space="preserve"> required</w:t>
      </w:r>
      <w:r w:rsidR="007E12C5" w:rsidRPr="0034505A">
        <w:rPr>
          <w:rStyle w:val="ObservationstyleChar"/>
        </w:rPr>
        <w:t xml:space="preserve"> to support a</w:t>
      </w:r>
      <w:r w:rsidR="007E12C5">
        <w:rPr>
          <w:rStyle w:val="ObservationstyleChar"/>
        </w:rPr>
        <w:t xml:space="preserve"> selective</w:t>
      </w:r>
      <w:r w:rsidR="007E12C5" w:rsidRPr="0034505A">
        <w:rPr>
          <w:rStyle w:val="ObservationstyleChar"/>
        </w:rPr>
        <w:t xml:space="preserve"> number of LCGs</w:t>
      </w:r>
      <w:r w:rsidR="00632E56">
        <w:rPr>
          <w:rStyle w:val="ObservationstyleChar"/>
        </w:rPr>
        <w:t xml:space="preserve"> </w:t>
      </w:r>
      <w:r w:rsidR="00874421">
        <w:rPr>
          <w:rStyle w:val="ObservationstyleChar"/>
        </w:rPr>
        <w:t xml:space="preserve">to be reported </w:t>
      </w:r>
      <w:r w:rsidR="00C73F83">
        <w:rPr>
          <w:rStyle w:val="ObservationstyleChar"/>
        </w:rPr>
        <w:t>in</w:t>
      </w:r>
      <w:r w:rsidR="00874421">
        <w:rPr>
          <w:rStyle w:val="ObservationstyleChar"/>
        </w:rPr>
        <w:t xml:space="preserve"> a</w:t>
      </w:r>
      <w:r w:rsidR="00632E56">
        <w:rPr>
          <w:rStyle w:val="ObservationstyleChar"/>
        </w:rPr>
        <w:t xml:space="preserve"> BSR</w:t>
      </w:r>
      <w:r w:rsidR="007E12C5">
        <w:t>.</w:t>
      </w:r>
      <w:bookmarkEnd w:id="39"/>
      <w:bookmarkEnd w:id="40"/>
      <w:bookmarkEnd w:id="41"/>
      <w:bookmarkEnd w:id="42"/>
      <w:bookmarkEnd w:id="43"/>
      <w:bookmarkEnd w:id="44"/>
      <w:bookmarkEnd w:id="45"/>
      <w:bookmarkEnd w:id="46"/>
      <w:bookmarkEnd w:id="47"/>
    </w:p>
    <w:p w14:paraId="47084365" w14:textId="77777777" w:rsidR="003F5E77" w:rsidRPr="005744F4" w:rsidRDefault="00FD62C8" w:rsidP="006E7F24">
      <w:pPr>
        <w:pStyle w:val="Heading3Style"/>
      </w:pPr>
      <w:r w:rsidRPr="005744F4">
        <w:t>BSR per LCG</w:t>
      </w:r>
    </w:p>
    <w:p w14:paraId="230E5628" w14:textId="303B5C51" w:rsidR="00FA77FB" w:rsidRDefault="00FA77FB" w:rsidP="00FA77FB">
      <w:r>
        <w:t xml:space="preserve">In LTE, only four logical channel group (LCG) are defined to prioritize the data. In NR, for finer granularity of data priorities to reflect the various services and </w:t>
      </w:r>
      <w:r w:rsidR="00E250F2">
        <w:t>numerologies</w:t>
      </w:r>
      <w:r>
        <w:t xml:space="preserve"> a UE is supporting, </w:t>
      </w:r>
      <w:r w:rsidR="00632E56">
        <w:t xml:space="preserve">a </w:t>
      </w:r>
      <w:r w:rsidR="00874421">
        <w:t xml:space="preserve">larger </w:t>
      </w:r>
      <w:r w:rsidR="00632E56">
        <w:t>number</w:t>
      </w:r>
      <w:r>
        <w:t xml:space="preserve"> of LCGs </w:t>
      </w:r>
      <w:r w:rsidR="00184B2E">
        <w:t xml:space="preserve">could be </w:t>
      </w:r>
      <w:r w:rsidR="00184B2E">
        <w:lastRenderedPageBreak/>
        <w:t>necessary</w:t>
      </w:r>
      <w:r>
        <w:t xml:space="preserve"> in NR. In this case, a new MAC CE for BSR needs to be designed to accommodate all data corresponding to a number of LCGs.</w:t>
      </w:r>
      <w:r w:rsidR="0034505A">
        <w:t xml:space="preserve"> The MAC CE could include one or more than one LCG IDs of the data.</w:t>
      </w:r>
    </w:p>
    <w:p w14:paraId="780BF58C" w14:textId="7B0DF5C0" w:rsidR="0034505A" w:rsidRDefault="007E12C5" w:rsidP="0034505A">
      <w:pPr>
        <w:pStyle w:val="Observationstyle"/>
      </w:pPr>
      <w:bookmarkStart w:id="48" w:name="_Toc473640505"/>
      <w:bookmarkStart w:id="49" w:name="_Toc473640647"/>
      <w:bookmarkStart w:id="50" w:name="_Toc473910660"/>
      <w:bookmarkStart w:id="51" w:name="_Toc473910741"/>
      <w:bookmarkStart w:id="52" w:name="_Toc473926541"/>
      <w:bookmarkStart w:id="53" w:name="_Toc473927462"/>
      <w:bookmarkStart w:id="54" w:name="_Toc473927647"/>
      <w:bookmarkStart w:id="55" w:name="_Toc473928459"/>
      <w:bookmarkStart w:id="56" w:name="_Toc473928707"/>
      <w:r>
        <w:rPr>
          <w:rStyle w:val="ObservationstyleChar"/>
        </w:rPr>
        <w:t>Higher number of LCGs than supported in LTE can be defined for</w:t>
      </w:r>
      <w:r w:rsidR="00632E56">
        <w:rPr>
          <w:rStyle w:val="ObservationstyleChar"/>
        </w:rPr>
        <w:t xml:space="preserve"> supporting </w:t>
      </w:r>
      <w:r>
        <w:rPr>
          <w:rStyle w:val="ObservationstyleChar"/>
        </w:rPr>
        <w:t xml:space="preserve">finer granularity </w:t>
      </w:r>
      <w:r w:rsidR="00E250F2">
        <w:rPr>
          <w:rStyle w:val="ObservationstyleChar"/>
        </w:rPr>
        <w:t>of priorities</w:t>
      </w:r>
      <w:r w:rsidR="008A00C9">
        <w:rPr>
          <w:rStyle w:val="ObservationstyleChar"/>
        </w:rPr>
        <w:t xml:space="preserve"> of data</w:t>
      </w:r>
      <w:r w:rsidR="002530FD">
        <w:rPr>
          <w:rStyle w:val="ObservationstyleChar"/>
        </w:rPr>
        <w:t xml:space="preserve"> in BSR</w:t>
      </w:r>
      <w:r w:rsidR="0034505A">
        <w:t>.</w:t>
      </w:r>
      <w:bookmarkEnd w:id="48"/>
      <w:bookmarkEnd w:id="49"/>
      <w:bookmarkEnd w:id="50"/>
      <w:bookmarkEnd w:id="51"/>
      <w:bookmarkEnd w:id="52"/>
      <w:bookmarkEnd w:id="53"/>
      <w:bookmarkEnd w:id="54"/>
      <w:bookmarkEnd w:id="55"/>
      <w:bookmarkEnd w:id="56"/>
    </w:p>
    <w:p w14:paraId="7DD804D3" w14:textId="77777777" w:rsidR="00FD62C8" w:rsidRDefault="00FD62C8" w:rsidP="006E7F24">
      <w:pPr>
        <w:pStyle w:val="Heading3Style"/>
      </w:pPr>
      <w:r w:rsidRPr="005744F4">
        <w:t>BSR per logical channel</w:t>
      </w:r>
    </w:p>
    <w:p w14:paraId="633E145A" w14:textId="1CB565CE" w:rsidR="00CD703E" w:rsidRDefault="00CD703E" w:rsidP="005744F4">
      <w:r>
        <w:t>Another option in enhancing the BSR could be reporting the BSR corresponding to each logical channel. In NR, it is likely that a</w:t>
      </w:r>
      <w:r w:rsidR="0071434C">
        <w:t xml:space="preserve"> logical channel may </w:t>
      </w:r>
      <w:r w:rsidR="001A0AC6">
        <w:t>be associated with</w:t>
      </w:r>
      <w:r>
        <w:t xml:space="preserve"> a</w:t>
      </w:r>
      <w:r w:rsidR="0071434C">
        <w:t xml:space="preserve"> </w:t>
      </w:r>
      <w:r w:rsidR="006E68D8">
        <w:t>TTI</w:t>
      </w:r>
      <w:r w:rsidR="0071434C">
        <w:t xml:space="preserve"> or a</w:t>
      </w:r>
      <w:r>
        <w:t xml:space="preserve"> service in UE. It </w:t>
      </w:r>
      <w:r w:rsidR="00B3499B">
        <w:t>could be possible that data in one</w:t>
      </w:r>
      <w:r>
        <w:t xml:space="preserve"> logical channel may be more important or have higher priority than the data in other logical channel.</w:t>
      </w:r>
      <w:r w:rsidR="00964AF5">
        <w:t xml:space="preserve"> This can be decided based on a mapping function between the logical channel and TTI duration or QoS flow profile.</w:t>
      </w:r>
      <w:r w:rsidR="0071434C">
        <w:t xml:space="preserve"> For this purpose,</w:t>
      </w:r>
      <w:r w:rsidR="005D5067">
        <w:t xml:space="preserve"> a new MAC CE can be defined </w:t>
      </w:r>
      <w:r w:rsidR="007E12C5">
        <w:t>to indicate the logical channel associated with the buffer index in the BSR.</w:t>
      </w:r>
    </w:p>
    <w:p w14:paraId="5F9FAAB8" w14:textId="77777777" w:rsidR="007E12C5" w:rsidRDefault="007E12C5" w:rsidP="007E12C5">
      <w:pPr>
        <w:pStyle w:val="Observationstyle"/>
      </w:pPr>
      <w:bookmarkStart w:id="57" w:name="_Toc473640506"/>
      <w:bookmarkStart w:id="58" w:name="_Toc473640648"/>
      <w:bookmarkStart w:id="59" w:name="_Toc473910661"/>
      <w:bookmarkStart w:id="60" w:name="_Toc473910742"/>
      <w:bookmarkStart w:id="61" w:name="_Toc473926542"/>
      <w:bookmarkStart w:id="62" w:name="_Toc473927463"/>
      <w:bookmarkStart w:id="63" w:name="_Toc473927648"/>
      <w:bookmarkStart w:id="64" w:name="_Toc473928460"/>
      <w:bookmarkStart w:id="65" w:name="_Toc473928708"/>
      <w:r>
        <w:t>Logical channel identity based BSR</w:t>
      </w:r>
      <w:r w:rsidR="006A2CD4">
        <w:t xml:space="preserve"> can also be defined for finer granularity of the priorities of data.</w:t>
      </w:r>
      <w:bookmarkEnd w:id="57"/>
      <w:bookmarkEnd w:id="58"/>
      <w:bookmarkEnd w:id="59"/>
      <w:bookmarkEnd w:id="60"/>
      <w:bookmarkEnd w:id="61"/>
      <w:bookmarkEnd w:id="62"/>
      <w:bookmarkEnd w:id="63"/>
      <w:bookmarkEnd w:id="64"/>
      <w:bookmarkEnd w:id="65"/>
    </w:p>
    <w:p w14:paraId="0B652F83" w14:textId="77777777" w:rsidR="0014256C" w:rsidRDefault="0014256C" w:rsidP="0014256C">
      <w:r>
        <w:t>Based on the observations above, followings are proposed.</w:t>
      </w:r>
    </w:p>
    <w:p w14:paraId="7854F412" w14:textId="5C1810BB" w:rsidR="005D5067" w:rsidRDefault="00B3499B" w:rsidP="004851FD">
      <w:pPr>
        <w:pStyle w:val="Recommend-1"/>
      </w:pPr>
      <w:bookmarkStart w:id="66" w:name="_Toc473640508"/>
      <w:bookmarkStart w:id="67" w:name="_Toc473640739"/>
      <w:bookmarkStart w:id="68" w:name="_Toc473640791"/>
      <w:bookmarkStart w:id="69" w:name="_Toc473910663"/>
      <w:bookmarkStart w:id="70" w:name="_Toc473910681"/>
      <w:bookmarkStart w:id="71" w:name="_Toc473910726"/>
      <w:bookmarkStart w:id="72" w:name="_Toc473926544"/>
      <w:bookmarkStart w:id="73" w:name="_Toc473927465"/>
      <w:bookmarkStart w:id="74" w:name="_Toc473927640"/>
      <w:bookmarkStart w:id="75" w:name="_Toc473928462"/>
      <w:bookmarkStart w:id="76" w:name="_Toc473928710"/>
      <w:r>
        <w:t>F</w:t>
      </w:r>
      <w:r w:rsidR="005D5067">
        <w:t>lexible and ef</w:t>
      </w:r>
      <w:r w:rsidR="00632E56">
        <w:t xml:space="preserve">ficient BSR </w:t>
      </w:r>
      <w:r w:rsidR="00CE1954">
        <w:t>format</w:t>
      </w:r>
      <w:r>
        <w:t>s</w:t>
      </w:r>
      <w:r w:rsidR="00632E56">
        <w:t xml:space="preserve"> </w:t>
      </w:r>
      <w:r>
        <w:t xml:space="preserve">enabling reporting of larger number of types/priorities of data will be </w:t>
      </w:r>
      <w:r w:rsidR="00AE498F">
        <w:t>supported in NR</w:t>
      </w:r>
      <w:r>
        <w:t>.</w:t>
      </w:r>
      <w:r w:rsidDel="00B3499B">
        <w:t xml:space="preserve"> </w:t>
      </w:r>
      <w:r>
        <w:t xml:space="preserve">FFS </w:t>
      </w:r>
      <w:r w:rsidR="00A973AE">
        <w:t>how</w:t>
      </w:r>
      <w:r>
        <w:t xml:space="preserve"> the type/priority of data is differentiated </w:t>
      </w:r>
      <w:r w:rsidR="00A973AE">
        <w:t xml:space="preserve">(e.g., </w:t>
      </w:r>
      <w:r>
        <w:t>based on LCID, LCG or other criteria</w:t>
      </w:r>
      <w:r w:rsidR="00A973AE">
        <w:t>)</w:t>
      </w:r>
      <w:r>
        <w:t>. FFS exact number of types/priorities to be suppor</w:t>
      </w:r>
      <w:r w:rsidR="00A973AE">
        <w:t>ted</w:t>
      </w:r>
      <w:r>
        <w:t>.</w:t>
      </w:r>
      <w:bookmarkEnd w:id="66"/>
      <w:bookmarkEnd w:id="67"/>
      <w:bookmarkEnd w:id="68"/>
      <w:bookmarkEnd w:id="69"/>
      <w:bookmarkEnd w:id="70"/>
      <w:bookmarkEnd w:id="71"/>
      <w:bookmarkEnd w:id="72"/>
      <w:bookmarkEnd w:id="73"/>
      <w:bookmarkEnd w:id="74"/>
      <w:bookmarkEnd w:id="75"/>
      <w:bookmarkEnd w:id="76"/>
    </w:p>
    <w:p w14:paraId="6E244F3F" w14:textId="77777777" w:rsidR="003F5E77" w:rsidRDefault="003F5E77" w:rsidP="003F5E77">
      <w:pPr>
        <w:pStyle w:val="Heading1"/>
        <w:rPr>
          <w:rFonts w:cs="Arial"/>
        </w:rPr>
      </w:pPr>
      <w:r w:rsidRPr="00A66DAB">
        <w:rPr>
          <w:rFonts w:cs="Arial"/>
        </w:rPr>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3E250B58" w14:textId="77777777" w:rsidR="006E68D8" w:rsidRDefault="00DC20E1">
      <w:pPr>
        <w:pStyle w:val="TOC1"/>
        <w:tabs>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6E68D8" w:rsidRPr="00345FA3">
        <w:rPr>
          <w:rFonts w:ascii="Times New Roman Bold" w:hAnsi="Times New Roman Bold"/>
          <w:b/>
          <w:noProof/>
        </w:rPr>
        <w:t>Observation 1</w:t>
      </w:r>
      <w:r w:rsidR="006E68D8">
        <w:rPr>
          <w:noProof/>
        </w:rPr>
        <w:t xml:space="preserve"> Due to the variety of services (eMBB, URLLC etc.) supported by NR, it is beneficial for the eNB scheduler to know the priority of the SR which allows the gNB to prioritize UL resources among the UEs.</w:t>
      </w:r>
    </w:p>
    <w:p w14:paraId="2E310836" w14:textId="77777777" w:rsidR="006E68D8" w:rsidRDefault="006E68D8">
      <w:pPr>
        <w:pStyle w:val="TOC1"/>
        <w:tabs>
          <w:tab w:val="right" w:leader="dot" w:pos="9350"/>
        </w:tabs>
        <w:rPr>
          <w:rFonts w:asciiTheme="minorHAnsi" w:eastAsiaTheme="minorEastAsia" w:hAnsiTheme="minorHAnsi" w:cstheme="minorBidi"/>
          <w:noProof/>
          <w:sz w:val="22"/>
          <w:szCs w:val="22"/>
        </w:rPr>
      </w:pPr>
      <w:r w:rsidRPr="00345FA3">
        <w:rPr>
          <w:rFonts w:ascii="Times New Roman Bold" w:hAnsi="Times New Roman Bold"/>
          <w:b/>
          <w:noProof/>
        </w:rPr>
        <w:t>Observation 2</w:t>
      </w:r>
      <w:r>
        <w:rPr>
          <w:noProof/>
        </w:rPr>
        <w:t xml:space="preserve"> SR with more information on traffic characteristic/services is beneficial for better UL scheduling at the network.</w:t>
      </w:r>
    </w:p>
    <w:p w14:paraId="2A14BFE8" w14:textId="77777777" w:rsidR="006E68D8" w:rsidRDefault="006E68D8">
      <w:pPr>
        <w:pStyle w:val="TOC1"/>
        <w:tabs>
          <w:tab w:val="right" w:leader="dot" w:pos="9350"/>
        </w:tabs>
        <w:rPr>
          <w:rFonts w:asciiTheme="minorHAnsi" w:eastAsiaTheme="minorEastAsia" w:hAnsiTheme="minorHAnsi" w:cstheme="minorBidi"/>
          <w:noProof/>
          <w:sz w:val="22"/>
          <w:szCs w:val="22"/>
        </w:rPr>
      </w:pPr>
      <w:r w:rsidRPr="00345FA3">
        <w:rPr>
          <w:rFonts w:ascii="Times New Roman Bold" w:hAnsi="Times New Roman Bold"/>
          <w:b/>
          <w:noProof/>
        </w:rPr>
        <w:t>Observation 3</w:t>
      </w:r>
      <w:r>
        <w:rPr>
          <w:noProof/>
        </w:rPr>
        <w:t xml:space="preserve"> SR enhancement is dependent on the design of uplink control information (UCI) format by RAN1.</w:t>
      </w:r>
    </w:p>
    <w:p w14:paraId="7912FB46" w14:textId="77777777" w:rsidR="006E68D8" w:rsidRDefault="006E68D8">
      <w:pPr>
        <w:pStyle w:val="TOC1"/>
        <w:tabs>
          <w:tab w:val="right" w:leader="dot" w:pos="9350"/>
        </w:tabs>
        <w:rPr>
          <w:rFonts w:asciiTheme="minorHAnsi" w:eastAsiaTheme="minorEastAsia" w:hAnsiTheme="minorHAnsi" w:cstheme="minorBidi"/>
          <w:noProof/>
          <w:sz w:val="22"/>
          <w:szCs w:val="22"/>
        </w:rPr>
      </w:pPr>
      <w:r w:rsidRPr="00345FA3">
        <w:rPr>
          <w:rFonts w:ascii="Times New Roman Bold" w:hAnsi="Times New Roman Bold"/>
          <w:b/>
          <w:noProof/>
        </w:rPr>
        <w:t>Observation 4</w:t>
      </w:r>
      <w:r>
        <w:rPr>
          <w:noProof/>
        </w:rPr>
        <w:t xml:space="preserve"> New BSR formats are required to support a selective number of LCGs to be reported in a BSR.</w:t>
      </w:r>
    </w:p>
    <w:p w14:paraId="683E9E05" w14:textId="77777777" w:rsidR="006E68D8" w:rsidRDefault="006E68D8">
      <w:pPr>
        <w:pStyle w:val="TOC1"/>
        <w:tabs>
          <w:tab w:val="right" w:leader="dot" w:pos="9350"/>
        </w:tabs>
        <w:rPr>
          <w:rFonts w:asciiTheme="minorHAnsi" w:eastAsiaTheme="minorEastAsia" w:hAnsiTheme="minorHAnsi" w:cstheme="minorBidi"/>
          <w:noProof/>
          <w:sz w:val="22"/>
          <w:szCs w:val="22"/>
        </w:rPr>
      </w:pPr>
      <w:r w:rsidRPr="00345FA3">
        <w:rPr>
          <w:rFonts w:ascii="Times New Roman Bold" w:hAnsi="Times New Roman Bold"/>
          <w:b/>
          <w:noProof/>
        </w:rPr>
        <w:t>Observation 5</w:t>
      </w:r>
      <w:r>
        <w:rPr>
          <w:noProof/>
        </w:rPr>
        <w:t xml:space="preserve"> Higher number of LCGs than supported in LTE can be defined for supporting finer granularity of priorities of data in BSR.</w:t>
      </w:r>
    </w:p>
    <w:p w14:paraId="45410DBE" w14:textId="77777777" w:rsidR="006E68D8" w:rsidRDefault="006E68D8">
      <w:pPr>
        <w:pStyle w:val="TOC1"/>
        <w:tabs>
          <w:tab w:val="right" w:leader="dot" w:pos="9350"/>
        </w:tabs>
        <w:rPr>
          <w:rFonts w:asciiTheme="minorHAnsi" w:eastAsiaTheme="minorEastAsia" w:hAnsiTheme="minorHAnsi" w:cstheme="minorBidi"/>
          <w:noProof/>
          <w:sz w:val="22"/>
          <w:szCs w:val="22"/>
        </w:rPr>
      </w:pPr>
      <w:r w:rsidRPr="00345FA3">
        <w:rPr>
          <w:rFonts w:ascii="Times New Roman Bold" w:hAnsi="Times New Roman Bold"/>
          <w:b/>
          <w:noProof/>
        </w:rPr>
        <w:t>Observation 6</w:t>
      </w:r>
      <w:r>
        <w:rPr>
          <w:noProof/>
        </w:rPr>
        <w:t xml:space="preserve"> Logical channel identity based BSR can also be defined for finer granularity of the priorities of data.</w:t>
      </w:r>
    </w:p>
    <w:p w14:paraId="04F297AF" w14:textId="76A856BB"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these </w:t>
      </w:r>
      <w:r w:rsidRPr="0006424E">
        <w:rPr>
          <w:noProof/>
          <w:lang w:val="en-GB"/>
        </w:rPr>
        <w:t>observations</w:t>
      </w:r>
      <w:r>
        <w:rPr>
          <w:noProof/>
          <w:lang w:val="en-GB"/>
        </w:rPr>
        <w:t xml:space="preserve"> and discussio</w:t>
      </w:r>
      <w:bookmarkStart w:id="77" w:name="_GoBack"/>
      <w:bookmarkEnd w:id="77"/>
      <w:r>
        <w:rPr>
          <w:noProof/>
          <w:lang w:val="en-GB"/>
        </w:rPr>
        <w:t>n</w:t>
      </w:r>
      <w:r w:rsidRPr="0006424E">
        <w:rPr>
          <w:noProof/>
          <w:lang w:val="en-GB"/>
        </w:rPr>
        <w:t>, we propose:</w:t>
      </w:r>
    </w:p>
    <w:p w14:paraId="095DD33E" w14:textId="77777777" w:rsidR="006E68D8" w:rsidRDefault="00DC20E1">
      <w:pPr>
        <w:pStyle w:val="TOC1"/>
        <w:tabs>
          <w:tab w:val="left" w:pos="1320"/>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"Recommend-1,1" </w:instrText>
      </w:r>
      <w:r>
        <w:rPr>
          <w:sz w:val="28"/>
          <w:lang w:val="en-GB" w:eastAsia="x-none"/>
        </w:rPr>
        <w:fldChar w:fldCharType="separate"/>
      </w:r>
      <w:r w:rsidR="006E68D8" w:rsidRPr="00AF3862">
        <w:rPr>
          <w:b/>
          <w:noProof/>
        </w:rPr>
        <w:t>Proposal 1.</w:t>
      </w:r>
      <w:r w:rsidR="006E68D8">
        <w:rPr>
          <w:rFonts w:asciiTheme="minorHAnsi" w:eastAsiaTheme="minorEastAsia" w:hAnsiTheme="minorHAnsi" w:cstheme="minorBidi"/>
          <w:noProof/>
          <w:sz w:val="22"/>
          <w:szCs w:val="22"/>
        </w:rPr>
        <w:tab/>
      </w:r>
      <w:r w:rsidR="006E68D8">
        <w:rPr>
          <w:noProof/>
        </w:rPr>
        <w:t>RAN2 should get feedback from RAN1 on the amount of bits available for conveying priorities and/or other traffic/service characteristics in SR.</w:t>
      </w:r>
    </w:p>
    <w:p w14:paraId="6F7DA8D1" w14:textId="77777777" w:rsidR="006E68D8" w:rsidRDefault="006E68D8">
      <w:pPr>
        <w:pStyle w:val="TOC1"/>
        <w:tabs>
          <w:tab w:val="left" w:pos="1320"/>
          <w:tab w:val="right" w:leader="dot" w:pos="9350"/>
        </w:tabs>
        <w:rPr>
          <w:rFonts w:asciiTheme="minorHAnsi" w:eastAsiaTheme="minorEastAsia" w:hAnsiTheme="minorHAnsi" w:cstheme="minorBidi"/>
          <w:noProof/>
          <w:sz w:val="22"/>
          <w:szCs w:val="22"/>
        </w:rPr>
      </w:pPr>
      <w:r w:rsidRPr="00AF3862">
        <w:rPr>
          <w:b/>
          <w:noProof/>
        </w:rPr>
        <w:t>Proposal 2.</w:t>
      </w:r>
      <w:r>
        <w:rPr>
          <w:rFonts w:asciiTheme="minorHAnsi" w:eastAsiaTheme="minorEastAsia" w:hAnsiTheme="minorHAnsi" w:cstheme="minorBidi"/>
          <w:noProof/>
          <w:sz w:val="22"/>
          <w:szCs w:val="22"/>
        </w:rPr>
        <w:tab/>
      </w:r>
      <w:r>
        <w:rPr>
          <w:noProof/>
        </w:rPr>
        <w:t>Flexible and efficient BSR formats enabling reporting of larger number of types/priorities of data will be supported in NR. FFS how the type/priority of data is differentiated (e.g., based on LCID, LCG or other criteria). FFS exact number of types/priorities to be supported.</w:t>
      </w:r>
    </w:p>
    <w:p w14:paraId="3E224C16" w14:textId="3A41B12B" w:rsidR="003F5E77" w:rsidRPr="00AE5D44" w:rsidRDefault="00DC20E1" w:rsidP="003F5E77">
      <w:pPr>
        <w:rPr>
          <w:sz w:val="28"/>
          <w:lang w:val="en-GB" w:eastAsia="x-none"/>
        </w:rPr>
      </w:pPr>
      <w:r>
        <w:rPr>
          <w:sz w:val="28"/>
          <w:lang w:val="en-GB" w:eastAsia="x-none"/>
        </w:rPr>
        <w:fldChar w:fldCharType="end"/>
      </w:r>
    </w:p>
    <w:p w14:paraId="44CDB911" w14:textId="77777777" w:rsidR="003F5E77" w:rsidRPr="00A66DAB" w:rsidRDefault="003F5E77" w:rsidP="003F5E77">
      <w:pPr>
        <w:pStyle w:val="Heading1"/>
        <w:rPr>
          <w:rFonts w:cs="Arial"/>
        </w:rPr>
      </w:pPr>
      <w:r w:rsidRPr="00A66DAB">
        <w:rPr>
          <w:rFonts w:cs="Arial"/>
        </w:rPr>
        <w:t>Reference</w:t>
      </w:r>
    </w:p>
    <w:bookmarkEnd w:id="2"/>
    <w:p w14:paraId="2341892F" w14:textId="2F5E47F5" w:rsidR="003F5E77" w:rsidRPr="00A66DAB" w:rsidRDefault="00745B05" w:rsidP="003F5E77">
      <w:pPr>
        <w:rPr>
          <w:rFonts w:cs="Arial"/>
        </w:rPr>
      </w:pPr>
      <w:r>
        <w:rPr>
          <w:lang w:val="en-GB"/>
        </w:rPr>
        <w:t>[1</w:t>
      </w:r>
      <w:r w:rsidR="00DF2E76">
        <w:rPr>
          <w:lang w:val="en-GB"/>
        </w:rPr>
        <w:t xml:space="preserve">] </w:t>
      </w:r>
      <w:r>
        <w:t>Draft Report of 3GPP TSG RAN WG1 NR AdHoc meeting, Spokane, US, January 17-19, 2017.</w:t>
      </w:r>
    </w:p>
    <w:p w14:paraId="243898E8" w14:textId="77777777" w:rsidR="0011560A" w:rsidRDefault="006E68D8"/>
    <w:sectPr w:rsidR="0011560A" w:rsidSect="00A6463F">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4"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5"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241F"/>
    <w:rsid w:val="00040FEE"/>
    <w:rsid w:val="001017AC"/>
    <w:rsid w:val="001304C5"/>
    <w:rsid w:val="0014256C"/>
    <w:rsid w:val="00172C07"/>
    <w:rsid w:val="00184B2E"/>
    <w:rsid w:val="00187B2E"/>
    <w:rsid w:val="00195B12"/>
    <w:rsid w:val="001A0AC6"/>
    <w:rsid w:val="001C20BB"/>
    <w:rsid w:val="001E493A"/>
    <w:rsid w:val="002530FD"/>
    <w:rsid w:val="00276D2E"/>
    <w:rsid w:val="002A7F76"/>
    <w:rsid w:val="002C7300"/>
    <w:rsid w:val="002F4198"/>
    <w:rsid w:val="00344CBF"/>
    <w:rsid w:val="0034505A"/>
    <w:rsid w:val="00347BF3"/>
    <w:rsid w:val="003836E3"/>
    <w:rsid w:val="003F4991"/>
    <w:rsid w:val="003F5E77"/>
    <w:rsid w:val="00406CC5"/>
    <w:rsid w:val="004107FE"/>
    <w:rsid w:val="00411685"/>
    <w:rsid w:val="0043017D"/>
    <w:rsid w:val="004353D0"/>
    <w:rsid w:val="00447E80"/>
    <w:rsid w:val="00455BC6"/>
    <w:rsid w:val="004570E9"/>
    <w:rsid w:val="004758A9"/>
    <w:rsid w:val="00480D86"/>
    <w:rsid w:val="00482C53"/>
    <w:rsid w:val="004851FD"/>
    <w:rsid w:val="00490E73"/>
    <w:rsid w:val="004C2267"/>
    <w:rsid w:val="004C6373"/>
    <w:rsid w:val="004D5BCE"/>
    <w:rsid w:val="004E1B82"/>
    <w:rsid w:val="0052610A"/>
    <w:rsid w:val="00534787"/>
    <w:rsid w:val="00542B4C"/>
    <w:rsid w:val="005744F4"/>
    <w:rsid w:val="00595D86"/>
    <w:rsid w:val="005D5067"/>
    <w:rsid w:val="005E0EDE"/>
    <w:rsid w:val="005E2B01"/>
    <w:rsid w:val="0061790A"/>
    <w:rsid w:val="006212B5"/>
    <w:rsid w:val="00632E56"/>
    <w:rsid w:val="0065344E"/>
    <w:rsid w:val="00675028"/>
    <w:rsid w:val="006942AD"/>
    <w:rsid w:val="006A2CD4"/>
    <w:rsid w:val="006A7B10"/>
    <w:rsid w:val="006B1377"/>
    <w:rsid w:val="006E56FE"/>
    <w:rsid w:val="006E68D8"/>
    <w:rsid w:val="006E7F24"/>
    <w:rsid w:val="0071434C"/>
    <w:rsid w:val="00745B05"/>
    <w:rsid w:val="007A7883"/>
    <w:rsid w:val="007D0A88"/>
    <w:rsid w:val="007E12C5"/>
    <w:rsid w:val="007E44D1"/>
    <w:rsid w:val="007F560A"/>
    <w:rsid w:val="008203D8"/>
    <w:rsid w:val="008245C4"/>
    <w:rsid w:val="00826523"/>
    <w:rsid w:val="0085616C"/>
    <w:rsid w:val="00874421"/>
    <w:rsid w:val="008A00C9"/>
    <w:rsid w:val="008A2B40"/>
    <w:rsid w:val="008C2FAE"/>
    <w:rsid w:val="00912015"/>
    <w:rsid w:val="00942659"/>
    <w:rsid w:val="00951C0F"/>
    <w:rsid w:val="009647D1"/>
    <w:rsid w:val="00964AF5"/>
    <w:rsid w:val="00983099"/>
    <w:rsid w:val="009A7058"/>
    <w:rsid w:val="009C7071"/>
    <w:rsid w:val="009F7227"/>
    <w:rsid w:val="00A23091"/>
    <w:rsid w:val="00A404A2"/>
    <w:rsid w:val="00A9380B"/>
    <w:rsid w:val="00A973AE"/>
    <w:rsid w:val="00AC7ADC"/>
    <w:rsid w:val="00AE498F"/>
    <w:rsid w:val="00B3499B"/>
    <w:rsid w:val="00B805E9"/>
    <w:rsid w:val="00C22C27"/>
    <w:rsid w:val="00C326A0"/>
    <w:rsid w:val="00C537EE"/>
    <w:rsid w:val="00C54B87"/>
    <w:rsid w:val="00C66648"/>
    <w:rsid w:val="00C73F83"/>
    <w:rsid w:val="00C94A39"/>
    <w:rsid w:val="00CB689F"/>
    <w:rsid w:val="00CD703E"/>
    <w:rsid w:val="00CE071B"/>
    <w:rsid w:val="00CE1954"/>
    <w:rsid w:val="00D34834"/>
    <w:rsid w:val="00D545B4"/>
    <w:rsid w:val="00D83BF2"/>
    <w:rsid w:val="00DB111C"/>
    <w:rsid w:val="00DC1AF9"/>
    <w:rsid w:val="00DC20E1"/>
    <w:rsid w:val="00DD4F21"/>
    <w:rsid w:val="00DF2E76"/>
    <w:rsid w:val="00E13B1D"/>
    <w:rsid w:val="00E250F2"/>
    <w:rsid w:val="00E329A9"/>
    <w:rsid w:val="00E7416B"/>
    <w:rsid w:val="00FA0D2D"/>
    <w:rsid w:val="00FA5EB1"/>
    <w:rsid w:val="00FA77FB"/>
    <w:rsid w:val="00FC2CB6"/>
    <w:rsid w:val="00FC36C3"/>
    <w:rsid w:val="00FD62C8"/>
    <w:rsid w:val="00FF47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eastAsia="SimSu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oleObject" Target="embeddings/Microsoft_Visio_2003-2010_Drawing1.vsd"/><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7BC2D-1558-4D78-9E3A-7F97D3E01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10019-3562-4F6E-99DF-167D2C7A9568}">
  <ds:schemaRefs>
    <ds:schemaRef ds:uri="http://schemas.microsoft.com/sharepoint/v3/contenttype/forms"/>
  </ds:schemaRefs>
</ds:datastoreItem>
</file>

<file path=customXml/itemProps3.xml><?xml version="1.0" encoding="utf-8"?>
<ds:datastoreItem xmlns:ds="http://schemas.openxmlformats.org/officeDocument/2006/customXml" ds:itemID="{A684BA35-5D8A-4488-87C5-42BB9E0D961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5C7D304-6D6A-414F-841B-434B43903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1343</Words>
  <Characters>7659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4</cp:revision>
  <dcterms:created xsi:type="dcterms:W3CDTF">2017-02-04T07:38:00Z</dcterms:created>
  <dcterms:modified xsi:type="dcterms:W3CDTF">2017-02-04T07:43:00Z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a79f4eda-0f93-41e4-b889-6bcc941705b2</vt:lpwstr>
  </property>
  <property fmtid="{D5CDD505-2E9C-101B-9397-08002B2CF9AE}" pid="4" name="CTP_BU">
    <vt:lpwstr>NEXT GEN AND STANDARDS GROUP</vt:lpwstr>
  </property>
  <property fmtid="{D5CDD505-2E9C-101B-9397-08002B2CF9AE}" pid="5" name="CTP_TimeStamp">
    <vt:lpwstr>2017-02-03 13:11:13Z</vt:lpwstr>
  </property>
  <property fmtid="{D5CDD505-2E9C-101B-9397-08002B2CF9AE}" pid="6" name="CTPClassification">
    <vt:lpwstr>CTP_IC</vt:lpwstr>
  </property>
</Properties>
</file>